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0000FF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44"/>
          <w:szCs w:val="44"/>
        </w:rPr>
        <w:t>工商管理创新（EMBA）总裁高级研修班</w:t>
      </w:r>
    </w:p>
    <w:p>
      <w:pPr>
        <w:spacing w:line="480" w:lineRule="auto"/>
        <w:ind w:firstLine="562" w:firstLineChars="200"/>
        <w:jc w:val="center"/>
        <w:rPr>
          <w:rFonts w:asciiTheme="majorEastAsia" w:hAnsiTheme="majorEastAsia" w:eastAsiaTheme="majorEastAsia" w:cstheme="majorEastAsia"/>
          <w:b/>
          <w:bCs/>
          <w:color w:val="0000FF"/>
          <w:sz w:val="28"/>
          <w:szCs w:val="28"/>
        </w:rPr>
      </w:pPr>
    </w:p>
    <w:p>
      <w:pPr>
        <w:wordWrap w:val="0"/>
        <w:spacing w:line="480" w:lineRule="auto"/>
        <w:ind w:firstLine="562" w:firstLineChars="200"/>
        <w:jc w:val="right"/>
        <w:rPr>
          <w:rFonts w:asciiTheme="majorEastAsia" w:hAnsiTheme="majorEastAsia" w:eastAsiaTheme="majorEastAsia" w:cstheme="majorEastAsia"/>
          <w:b/>
          <w:bCs/>
          <w:color w:val="FFFFFF" w:themeColor="background1"/>
          <w:sz w:val="28"/>
          <w:szCs w:val="28"/>
          <w:highlight w:val="blu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FFFF" w:themeColor="background1"/>
          <w:sz w:val="28"/>
          <w:szCs w:val="28"/>
          <w:highlight w:val="blue"/>
        </w:rPr>
        <w:t xml:space="preserve"> 2019升级版 </w:t>
      </w:r>
    </w:p>
    <w:p>
      <w:pPr>
        <w:wordWrap w:val="0"/>
        <w:spacing w:line="480" w:lineRule="auto"/>
        <w:ind w:firstLine="562" w:firstLineChars="200"/>
        <w:jc w:val="right"/>
        <w:rPr>
          <w:rFonts w:asciiTheme="majorEastAsia" w:hAnsiTheme="majorEastAsia" w:eastAsiaTheme="majorEastAsia" w:cstheme="majorEastAsia"/>
          <w:b/>
          <w:bCs/>
          <w:color w:val="FFFFFF" w:themeColor="background1"/>
          <w:sz w:val="28"/>
          <w:szCs w:val="28"/>
        </w:rPr>
      </w:pPr>
    </w:p>
    <w:p>
      <w:pPr>
        <w:spacing w:line="408" w:lineRule="auto"/>
        <w:ind w:firstLine="482" w:firstLineChars="200"/>
        <w:jc w:val="left"/>
        <w:rPr>
          <w:rFonts w:ascii="宋体" w:hAnsi="宋体" w:cs="宋体"/>
          <w:b/>
          <w:color w:val="443D83"/>
          <w:kern w:val="0"/>
          <w:sz w:val="24"/>
        </w:rPr>
      </w:pPr>
      <w:r>
        <w:rPr>
          <w:rFonts w:hint="eastAsia" w:ascii="宋体" w:hAnsi="宋体" w:cs="宋体"/>
          <w:b/>
          <w:color w:val="443D83"/>
          <w:kern w:val="0"/>
          <w:sz w:val="24"/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color w:val="443D83"/>
          <w:sz w:val="24"/>
        </w:rPr>
        <w:t>项目背景</w:t>
      </w:r>
      <w:r>
        <w:rPr>
          <w:rFonts w:hint="eastAsia" w:ascii="宋体" w:hAnsi="宋体" w:cs="宋体"/>
          <w:b/>
          <w:color w:val="443D83"/>
          <w:kern w:val="0"/>
          <w:sz w:val="24"/>
        </w:rPr>
        <w:t>】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</w:rPr>
        <w:t>值习主席率领中国崛起，中西国家强弱交替的历史时刻；中国企业迎来梦寐以求的发展机遇，商界精英应运而生。商界竞争已成为强国蓄势的一场暗战！商强则国强，企业盛则国昌。培育工商精英，就是保障国家未来。时势造就英雄，胸怀商业理想的管理者，若能洞悉趋势把握时机，勇于构建前瞻思想，整合资源促管理变革，择日终成管理精英，民族财富之脊梁。结合当前宏观现状，衍生本课程系，为企业转型升级插上腾飞的翅膀！</w:t>
      </w:r>
    </w:p>
    <w:p>
      <w:pPr>
        <w:spacing w:line="408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前瞻创新课程体系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</w:p>
    <w:p>
      <w:pPr>
        <w:spacing w:line="40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全球大变革，中国新时代，如何洞察未来商业发展之势？</w:t>
      </w:r>
    </w:p>
    <w:p>
      <w:pPr>
        <w:spacing w:line="40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成为引领时代的企业家，需要具备哪些全新的认知与素质？</w:t>
      </w:r>
    </w:p>
    <w:p>
      <w:pPr>
        <w:spacing w:line="408" w:lineRule="auto"/>
        <w:ind w:firstLine="602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 w:val="30"/>
          <w:szCs w:val="30"/>
        </w:rPr>
        <w:t>①</w:t>
      </w:r>
      <w:r>
        <w:rPr>
          <w:rFonts w:hint="eastAsia" w:ascii="宋体" w:hAnsi="宋体" w:eastAsia="宋体" w:cs="宋体"/>
          <w:b/>
          <w:bCs/>
          <w:szCs w:val="21"/>
        </w:rPr>
        <w:t>取</w:t>
      </w:r>
      <w:r>
        <w:rPr>
          <w:rFonts w:hint="eastAsia" w:ascii="宋体" w:hAnsi="宋体" w:eastAsia="宋体" w:cs="宋体"/>
          <w:b/>
          <w:bCs/>
          <w:color w:val="C00000"/>
          <w:sz w:val="30"/>
          <w:szCs w:val="30"/>
        </w:rPr>
        <w:t>势</w:t>
      </w:r>
      <w:r>
        <w:rPr>
          <w:rFonts w:hint="eastAsia" w:ascii="宋体" w:hAnsi="宋体" w:eastAsia="宋体" w:cs="宋体"/>
          <w:szCs w:val="21"/>
        </w:rPr>
        <w:t>中国新时代</w:t>
      </w:r>
    </w:p>
    <w:p>
      <w:pPr>
        <w:spacing w:line="40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通过著名实战派专、家、教授前瞻 性商业研究，在这个全球大变革 时代，洞察世界和中国商业的历史、现在与未来方向。</w:t>
      </w:r>
    </w:p>
    <w:p>
      <w:pPr>
        <w:spacing w:line="408" w:lineRule="auto"/>
        <w:ind w:firstLine="602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 w:val="30"/>
          <w:szCs w:val="30"/>
        </w:rPr>
        <w:t>②</w:t>
      </w:r>
      <w:r>
        <w:rPr>
          <w:rFonts w:hint="eastAsia" w:ascii="宋体" w:hAnsi="宋体" w:eastAsia="宋体" w:cs="宋体"/>
          <w:b/>
          <w:bCs/>
          <w:szCs w:val="21"/>
        </w:rPr>
        <w:t>明</w:t>
      </w:r>
      <w:r>
        <w:rPr>
          <w:rFonts w:hint="eastAsia" w:ascii="宋体" w:hAnsi="宋体" w:eastAsia="宋体" w:cs="宋体"/>
          <w:b/>
          <w:bCs/>
          <w:color w:val="C00000"/>
          <w:sz w:val="30"/>
          <w:szCs w:val="30"/>
        </w:rPr>
        <w:t>道</w:t>
      </w:r>
      <w:r>
        <w:rPr>
          <w:rFonts w:hint="eastAsia" w:ascii="宋体" w:hAnsi="宋体" w:eastAsia="宋体" w:cs="宋体"/>
          <w:szCs w:val="21"/>
        </w:rPr>
        <w:t>新格局 新思维</w:t>
      </w:r>
    </w:p>
    <w:p>
      <w:pPr>
        <w:spacing w:line="40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于“取势”下“明道”，为企业家打造系统的学习解决方案，帮助企业家打破思维定式，构建系统商业观。</w:t>
      </w:r>
    </w:p>
    <w:p>
      <w:pPr>
        <w:spacing w:line="408" w:lineRule="auto"/>
        <w:ind w:firstLine="602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</w:rPr>
        <w:t xml:space="preserve">③ </w:t>
      </w:r>
      <w:r>
        <w:rPr>
          <w:rFonts w:hint="eastAsia" w:asciiTheme="minorEastAsia" w:hAnsiTheme="minorEastAsia" w:cstheme="minorEastAsia"/>
          <w:szCs w:val="21"/>
        </w:rPr>
        <w:t>优</w:t>
      </w:r>
      <w:r>
        <w:rPr>
          <w:rFonts w:hint="eastAsia" w:asciiTheme="minorEastAsia" w:hAnsiTheme="minorEastAsia" w:cstheme="minorEastAsia"/>
          <w:b/>
          <w:bCs/>
          <w:color w:val="C00000"/>
          <w:sz w:val="30"/>
          <w:szCs w:val="30"/>
        </w:rPr>
        <w:t>術</w:t>
      </w:r>
      <w:r>
        <w:rPr>
          <w:rFonts w:hint="eastAsia" w:asciiTheme="minorEastAsia" w:hAnsiTheme="minorEastAsia" w:cstheme="minorEastAsia"/>
        </w:rPr>
        <w:t xml:space="preserve"> 实践创新 创建变革</w:t>
      </w:r>
    </w:p>
    <w:p>
      <w:pPr>
        <w:spacing w:line="408" w:lineRule="auto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由“道”及“术”，通过前瞻创新的课程体系打造中国商业学习生态，凝聚领袖级企业家群体，引领变革与创新，共同创见未来。</w:t>
      </w:r>
    </w:p>
    <w:p>
      <w:pPr>
        <w:spacing w:line="408" w:lineRule="auto"/>
        <w:ind w:firstLine="420" w:firstLineChars="200"/>
        <w:rPr>
          <w:rFonts w:asciiTheme="minorEastAsia" w:hAnsiTheme="minorEastAsia" w:cstheme="minorEastAsia"/>
        </w:rPr>
      </w:pPr>
    </w:p>
    <w:p>
      <w:pPr>
        <w:spacing w:line="408" w:lineRule="auto"/>
        <w:ind w:firstLine="420" w:firstLineChars="200"/>
        <w:rPr>
          <w:rFonts w:hint="eastAsia" w:ascii="宋体" w:hAnsi="宋体" w:eastAsia="宋体" w:cs="宋体"/>
          <w:b/>
          <w:color w:val="443D83"/>
          <w:kern w:val="0"/>
          <w:sz w:val="24"/>
        </w:rPr>
      </w:pPr>
      <w:r>
        <w:br w:type="page"/>
      </w:r>
    </w:p>
    <w:p>
      <w:pPr>
        <w:spacing w:line="408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四大优势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</w:p>
    <w:p>
      <w:pPr>
        <w:spacing w:line="408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1、突出重点，融合企业</w:t>
      </w:r>
    </w:p>
    <w:p>
      <w:pPr>
        <w:spacing w:line="40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课程模块围绕企业管理战略、国内外经济形势等设计，</w:t>
      </w:r>
      <w:r>
        <w:rPr>
          <w:rFonts w:hint="eastAsia" w:ascii="宋体" w:hAnsi="宋体" w:eastAsia="宋体" w:cs="宋体"/>
        </w:rPr>
        <w:t>专注培育工商精英，立足改革创新前沿，发挥学术资源优势，助民营企业卓著成长，成就商界精英理想。</w:t>
      </w:r>
    </w:p>
    <w:p>
      <w:pPr>
        <w:spacing w:line="408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2、国际视野，本土实践</w:t>
      </w:r>
    </w:p>
    <w:p>
      <w:pPr>
        <w:spacing w:line="408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课程融会中国五千年传统文化与智慧，把哲学思想、战略之道、谋略之术和用人之法与国际视野、理念相结合，开阔管理思路，激发灵感，解析经营之道，增强企业核心竞争力。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3、泰斗星布，名师云集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突破传统理念授课，师资汇集北大，业内顶尖专家，国家相关法律政策、经济研究人员等国内名校教授，国内外大型企业工作经历的高级管理人员。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4、人脉广阔，商业生态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发挥平台优势，整合优势资源，为学员建立广阔的交流平台，建立高端人脉网络，为学员之间的合作提供无限商机。</w:t>
      </w:r>
    </w:p>
    <w:p>
      <w:pPr>
        <w:spacing w:line="408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四大收益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清势                                 得法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清国际发展之势，清国内经济之势。     得资源整合之法，得资本运作之法。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清行业升级之势，清企业成长之势。     得经营智慧之法，得领袖修炼之法。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汇聚                                获实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汇同窗友谊之聚，汇资源对接之聚      获企业成长之实，获人文精神之实。</w:t>
      </w:r>
    </w:p>
    <w:p>
      <w:pPr>
        <w:spacing w:line="408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汇专家辅导之聚，汇名流互动之聚。    获社会尊敬之实，获幸福人生之实。</w:t>
      </w:r>
    </w:p>
    <w:p>
      <w:pPr>
        <w:jc w:val="left"/>
        <w:rPr>
          <w:rFonts w:ascii="宋体" w:hAnsi="宋体" w:cs="宋体"/>
          <w:b/>
          <w:color w:val="443D83"/>
          <w:kern w:val="0"/>
          <w:sz w:val="24"/>
        </w:rPr>
      </w:pPr>
    </w:p>
    <w:p>
      <w:pPr>
        <w:ind w:firstLine="482" w:firstLineChars="200"/>
        <w:jc w:val="left"/>
        <w:rPr>
          <w:rFonts w:ascii="宋体" w:hAnsi="宋体" w:cs="宋体"/>
          <w:b/>
          <w:color w:val="443D83"/>
          <w:kern w:val="0"/>
          <w:sz w:val="24"/>
        </w:rPr>
      </w:pPr>
      <w:r>
        <w:rPr>
          <w:rFonts w:hint="eastAsia" w:ascii="宋体" w:hAnsi="宋体" w:cs="宋体"/>
          <w:b/>
          <w:color w:val="443D83"/>
          <w:kern w:val="0"/>
          <w:sz w:val="24"/>
        </w:rPr>
        <w:br w:type="page"/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【课程设置】</w:t>
      </w:r>
    </w:p>
    <w:p>
      <w:pPr>
        <w:widowControl/>
        <w:wordWrap w:val="0"/>
        <w:spacing w:line="285" w:lineRule="atLeast"/>
        <w:jc w:val="left"/>
        <w:rPr>
          <w:rFonts w:ascii="宋体" w:hAnsi="宋体" w:cs="宋体"/>
          <w:b/>
          <w:color w:val="443D83"/>
          <w:kern w:val="0"/>
          <w:sz w:val="24"/>
        </w:rPr>
      </w:pPr>
    </w:p>
    <w:tbl>
      <w:tblPr>
        <w:tblStyle w:val="11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4CAD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4CAD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FFFFFF" w:sz="12" w:space="0"/>
              <w:right w:val="single" w:color="8064A2" w:sz="8" w:space="0"/>
            </w:tcBorders>
            <w:shd w:val="clear" w:color="auto" w:fill="8064A2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企业发展管理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FFFFFF" w:sz="12" w:space="0"/>
              <w:right w:val="single" w:color="8064A2" w:sz="8" w:space="0"/>
            </w:tcBorders>
            <w:shd w:val="clear" w:color="auto" w:fill="8064A2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公司治理结构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253" w:type="dxa"/>
            <w:tcBorders>
              <w:top w:val="single" w:color="FFFFFF" w:sz="12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宏观经济形势及政策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企业战略管理的整体架构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企业战略规划的制定、实施及评价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知识经济时代的信息化战略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企业发展战略模式的选择</w:t>
            </w:r>
          </w:p>
        </w:tc>
        <w:tc>
          <w:tcPr>
            <w:tcW w:w="4253" w:type="dxa"/>
            <w:tcBorders>
              <w:top w:val="single" w:color="FFFFFF" w:sz="12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公司产权结构分析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中小企业制度创新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组织变革与流程再造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权利制衡与科学决策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公司治理与董事会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战略管理与品牌推广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品牌塑造与营销创新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战略管理与品牌决策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品牌价值管理设计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品牌系统管理的重要意义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品牌定位、延伸与升级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品牌分级管理的职能作用及具体内容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品牌文化战略策划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如何打造企业品牌和产品品牌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品牌价值评估与交易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上市品牌资产保值与提升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保险对品牌价值与评估的重要意义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企业创新经营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经营战略在企业中的误区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经营与管理的区别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企业经营的观念创新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知识管理与知本创新        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信息化与电子商务创新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企业文化与形象塑造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学习型组织的建设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中西文化对比分析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团队建设与团队管理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总裁文化素养与公司文化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企业员工的执行力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企业高层领导力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员工持股与薪酬设计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员工的激励与绩效考核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如何选人、育人、用人、留人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岗位分析与组织设计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职业生涯规划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领导者的角色认知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领导者的领导艺术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领导者的情商与变革能力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团队管理与潜能开发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思维创新与领导力开发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企业危机管理与有效谈判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商业模式与资本运营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危机管理的四大效应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如何用非标准化的方法管理危机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如何利用危机化解危机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危机管理的策略与方法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如何用示弱方法组织有效谈判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怎样用示强方法进行有效谈判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什么是商业逻辑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资本运作与企业投融资基础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金融市场与金融创新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企业金融的风险控制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融资渠道比较分析及选择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企业发展管理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公司治理结构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宏观经济形势及政策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企业战略管理的整体架构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企业战略规划的制定、实施及评价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知识经济时代的信息化战略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企业发展战略模式的选择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公司产权结构分析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中小企业制度创新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组织变革与流程再造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权利制衡与科学决策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公司治理与董事会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私募股权与基金投资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企业家压力管理与心理健康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基金产品的选择与投资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私募股权融资募集程序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私募股权融资操作实务与流程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基金与私募股权融资风险规避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中国家训与齐家之道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企业家的心理健康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人类学与未来发展趋势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企业危机管理与商务修炼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总裁的危机公关能力培养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企业家人格魅力塑造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jc w:val="center"/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lang w:val="en-US" w:eastAsia="zh-CN"/>
              </w:rPr>
              <w:t>经营哲学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领导者的气质、品位提升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商务谈判与商务礼仪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如何实现企业家的人生价值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从禅文化谈自我修养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以人为本的全面发展观</w:t>
            </w:r>
          </w:p>
        </w:tc>
        <w:tc>
          <w:tcPr>
            <w:tcW w:w="425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top"/>
          </w:tcPr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《道德经》与现代企业管理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孙子兵法与企业谋略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博弈论与企业决策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中国哲学与企业家思维创新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both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儒墨道法与企业经营</w:t>
            </w:r>
          </w:p>
        </w:tc>
      </w:tr>
    </w:tbl>
    <w:p>
      <w:pPr>
        <w:spacing w:line="480" w:lineRule="auto"/>
        <w:ind w:firstLine="482" w:firstLineChars="200"/>
        <w:jc w:val="left"/>
        <w:rPr>
          <w:rFonts w:ascii="宋体" w:hAnsi="宋体" w:cs="宋体"/>
          <w:b/>
          <w:color w:val="443D83"/>
          <w:kern w:val="0"/>
          <w:sz w:val="24"/>
        </w:rPr>
      </w:pP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br w:type="page"/>
      </w:r>
    </w:p>
    <w:p>
      <w:pPr>
        <w:spacing w:line="480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拟邀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部分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师资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</w:rPr>
        <w:t>排名不分先后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黄俊立：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北京大学民营企业研究所执行所长，北京大学马克思学院副教授。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王在全：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北京大学经济学博士，北京大学教授。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赵  磊：</w:t>
      </w:r>
      <w:r>
        <w:rPr>
          <w:rFonts w:hint="eastAsia" w:ascii="宋体" w:hAnsi="宋体" w:eastAsia="宋体" w:cs="宋体"/>
          <w:bCs/>
          <w:kern w:val="0"/>
          <w:szCs w:val="21"/>
        </w:rPr>
        <w:t>新华信管理顾问公司总经理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乔志杰：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北京大学总裁班特约教授，永安信董事局主席，永安信控股创始人。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萧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Cs w:val="21"/>
        </w:rPr>
        <w:t>琛：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北京大学经济学院教授、博导。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朱朝庆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kern w:val="0"/>
          <w:szCs w:val="21"/>
        </w:rPr>
        <w:t>全网营销落地系统专家团首席顾问，北京智府商业模式专家团高级讲师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张  延：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北京大学经济学院教授，北京大学管理班讲师。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徐  京：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北京大学特约讲师。</w:t>
      </w:r>
    </w:p>
    <w:p>
      <w:pPr>
        <w:spacing w:line="480" w:lineRule="auto"/>
        <w:ind w:firstLine="422" w:firstLineChars="200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田一可：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北京大学特约讲师。</w:t>
      </w:r>
    </w:p>
    <w:p>
      <w:pPr>
        <w:spacing w:line="48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刘  佳：</w:t>
      </w:r>
      <w:r>
        <w:rPr>
          <w:rFonts w:hint="eastAsia" w:ascii="宋体" w:hAnsi="宋体" w:eastAsia="宋体" w:cs="宋体"/>
        </w:rPr>
        <w:t>工信部电子工业标准化研究院副主任。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黄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Cs w:val="21"/>
        </w:rPr>
        <w:t xml:space="preserve"> 宏</w:t>
      </w:r>
      <w:r>
        <w:rPr>
          <w:rFonts w:hint="eastAsia" w:ascii="宋体" w:hAnsi="宋体" w:eastAsia="宋体" w:cs="宋体"/>
          <w:bCs/>
          <w:kern w:val="0"/>
          <w:szCs w:val="21"/>
        </w:rPr>
        <w:t>：商业模式BMC系统研发人，中国职业经理联合会高级培训师。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朱 青： </w:t>
      </w:r>
      <w:r>
        <w:rPr>
          <w:rFonts w:hint="eastAsia" w:ascii="宋体" w:hAnsi="宋体" w:eastAsia="宋体" w:cs="宋体"/>
          <w:bCs/>
          <w:kern w:val="0"/>
          <w:szCs w:val="21"/>
        </w:rPr>
        <w:t>中国人民大学财经学院教授。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张智勇： </w:t>
      </w:r>
      <w:r>
        <w:rPr>
          <w:rFonts w:hint="eastAsia" w:ascii="宋体" w:hAnsi="宋体" w:eastAsia="宋体" w:cs="宋体"/>
          <w:bCs/>
          <w:kern w:val="0"/>
          <w:szCs w:val="21"/>
        </w:rPr>
        <w:t>北京大学心理学系副教授。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岳庆平：</w:t>
      </w:r>
      <w:r>
        <w:rPr>
          <w:rFonts w:hint="eastAsia" w:ascii="宋体" w:hAnsi="宋体" w:eastAsia="宋体" w:cs="宋体"/>
          <w:bCs/>
          <w:kern w:val="0"/>
          <w:szCs w:val="21"/>
        </w:rPr>
        <w:t>北京大学历史系教授。</w:t>
      </w:r>
    </w:p>
    <w:p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="422" w:firstLineChars="200"/>
        <w:jc w:val="left"/>
        <w:rPr>
          <w:rFonts w:ascii="宋体" w:hAnsi="宋体" w:eastAsia="微软雅黑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贺  林：</w:t>
      </w:r>
      <w:r>
        <w:rPr>
          <w:rFonts w:hint="eastAsia" w:ascii="宋体" w:hAnsi="宋体" w:eastAsia="宋体" w:cs="宋体"/>
          <w:bCs/>
          <w:kern w:val="0"/>
          <w:szCs w:val="21"/>
        </w:rPr>
        <w:t>北京清华大学信息学院博士、继续教育学院领导力实验室核心教师。</w:t>
      </w:r>
    </w:p>
    <w:p>
      <w:pPr>
        <w:spacing w:line="480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学制学费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学  制：一年（10次课，共计160课时，每次课程2-3天）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学  费：6.8万/人（本期报名2.98万/人）</w:t>
      </w:r>
    </w:p>
    <w:p>
      <w:pPr>
        <w:spacing w:line="480" w:lineRule="auto"/>
        <w:ind w:firstLine="360" w:firstLineChars="200"/>
        <w:jc w:val="left"/>
        <w:rPr>
          <w:rFonts w:ascii="宋体" w:hAnsi="宋体" w:eastAsia="宋体" w:cs="宋体"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Cs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含培训费、学费、学习用品费、材料费</w:t>
      </w:r>
      <w:r>
        <w:rPr>
          <w:rFonts w:hint="eastAsia" w:ascii="宋体" w:hAnsi="宋体" w:eastAsia="宋体" w:cs="宋体"/>
          <w:sz w:val="18"/>
          <w:szCs w:val="18"/>
        </w:rPr>
        <w:t>，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不含交通、食宿费用</w:t>
      </w:r>
      <w:r>
        <w:rPr>
          <w:rFonts w:hint="eastAsia" w:ascii="宋体" w:hAnsi="宋体" w:eastAsia="宋体" w:cs="宋体"/>
          <w:bCs/>
          <w:kern w:val="0"/>
          <w:sz w:val="18"/>
          <w:szCs w:val="18"/>
        </w:rPr>
        <w:t>）</w:t>
      </w:r>
    </w:p>
    <w:p>
      <w:pPr>
        <w:spacing w:line="480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【招生对象】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企业家及企业高级管理人才</w:t>
      </w:r>
    </w:p>
    <w:p>
      <w:pPr>
        <w:spacing w:line="480" w:lineRule="auto"/>
        <w:ind w:firstLine="482" w:firstLineChars="200"/>
        <w:jc w:val="left"/>
        <w:rPr>
          <w:rFonts w:ascii="宋体" w:hAnsi="宋体" w:eastAsia="宋体" w:cs="宋体"/>
          <w:b/>
          <w:color w:val="443D83"/>
          <w:kern w:val="0"/>
          <w:sz w:val="24"/>
        </w:rPr>
      </w:pP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【</w:t>
      </w:r>
      <w:r>
        <w:rPr>
          <w:rFonts w:hint="eastAsia" w:ascii="宋体" w:hAnsi="宋体" w:eastAsia="宋体" w:cs="宋体"/>
          <w:b/>
          <w:bCs/>
          <w:color w:val="443D83"/>
          <w:sz w:val="24"/>
        </w:rPr>
        <w:t>报名流程</w:t>
      </w:r>
      <w:r>
        <w:rPr>
          <w:rFonts w:hint="eastAsia" w:ascii="宋体" w:hAnsi="宋体" w:eastAsia="宋体" w:cs="宋体"/>
          <w:b/>
          <w:color w:val="443D83"/>
          <w:kern w:val="0"/>
          <w:sz w:val="24"/>
        </w:rPr>
        <w:t>】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审核：收到报名表审核通过后，发放《入学通知书》。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汇款：学员收到《入学通知书》后将学费汇至指定账号 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报到：学员应按规定的时间和地点准时报到。 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学员报到时应持本人身份证复印件2份，两寸蓝底照片2张，学历证明复印件2份。 </w:t>
      </w:r>
    </w:p>
    <w:p>
      <w:pPr>
        <w:spacing w:line="48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有关规定开班前请详询招生老师，开班后不予退费，敬请谅解！）</w:t>
      </w:r>
    </w:p>
    <w:p>
      <w:pPr>
        <w:spacing w:line="360" w:lineRule="auto"/>
        <w:rPr>
          <w:rFonts w:ascii="宋体" w:hAnsi="宋体" w:eastAsia="宋体" w:cs="宋体"/>
          <w:b/>
          <w:color w:val="E25413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color w:val="E25413"/>
          <w:sz w:val="24"/>
        </w:rPr>
      </w:pPr>
      <w:r>
        <w:rPr>
          <w:rFonts w:hint="eastAsia" w:ascii="宋体" w:hAnsi="宋体" w:eastAsia="宋体" w:cs="宋体"/>
          <w:b/>
          <w:color w:val="E25413"/>
          <w:sz w:val="24"/>
        </w:rPr>
        <w:br w:type="page"/>
      </w:r>
      <w:r>
        <w:rPr>
          <w:rFonts w:hint="eastAsia" w:ascii="宋体" w:hAnsi="宋体" w:eastAsia="宋体" w:cs="宋体"/>
          <w:b/>
          <w:bCs/>
          <w:color w:val="003366"/>
          <w:sz w:val="36"/>
          <w:szCs w:val="36"/>
        </w:rPr>
        <w:t>工商管理创新（EMBA)总裁高级研修班</w:t>
      </w:r>
      <w:r>
        <w:rPr>
          <w:rFonts w:ascii="Noto Sans CJK Medium" w:hAnsi="Noto Sans CJK Medium" w:eastAsia="Noto Sans CJK Medium" w:cs="Noto Sans CJK Medium"/>
          <w:b/>
          <w:bCs/>
          <w:color w:val="003366"/>
          <w:sz w:val="36"/>
          <w:szCs w:val="36"/>
        </w:rPr>
        <w:t>报名表</w:t>
      </w:r>
    </w:p>
    <w:p>
      <w:pPr>
        <w:spacing w:before="3" w:line="150" w:lineRule="exact"/>
        <w:rPr>
          <w:sz w:val="15"/>
          <w:szCs w:val="15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填表</w:t>
      </w:r>
      <w:r>
        <w:rPr>
          <w:rFonts w:hint="eastAsia" w:ascii="微软雅黑" w:hAnsi="微软雅黑" w:eastAsia="微软雅黑" w:cs="微软雅黑"/>
          <w:spacing w:val="-3"/>
          <w:sz w:val="24"/>
        </w:rPr>
        <w:t>日</w:t>
      </w:r>
      <w:r>
        <w:rPr>
          <w:rFonts w:hint="eastAsia" w:ascii="微软雅黑" w:hAnsi="微软雅黑" w:eastAsia="微软雅黑" w:cs="微软雅黑"/>
          <w:sz w:val="24"/>
        </w:rPr>
        <w:t>期：</w:t>
      </w:r>
      <w:r>
        <w:rPr>
          <w:rFonts w:hint="eastAsia" w:ascii="微软雅黑" w:hAnsi="微软雅黑" w:eastAsia="微软雅黑" w:cs="微软雅黑"/>
          <w:sz w:val="24"/>
        </w:rPr>
        <w:tab/>
      </w:r>
      <w:r>
        <w:rPr>
          <w:rFonts w:hint="eastAsia" w:ascii="微软雅黑" w:hAnsi="微软雅黑" w:eastAsia="微软雅黑" w:cs="微软雅黑"/>
          <w:sz w:val="24"/>
        </w:rPr>
        <w:t>年</w:t>
      </w:r>
      <w:r>
        <w:rPr>
          <w:rFonts w:hint="eastAsia" w:ascii="微软雅黑" w:hAnsi="微软雅黑" w:eastAsia="微软雅黑" w:cs="微软雅黑"/>
          <w:sz w:val="24"/>
        </w:rPr>
        <w:tab/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</w:rPr>
        <w:tab/>
      </w:r>
      <w:r>
        <w:rPr>
          <w:rFonts w:hint="eastAsia" w:ascii="微软雅黑" w:hAnsi="微软雅黑" w:eastAsia="微软雅黑" w:cs="微软雅黑"/>
          <w:sz w:val="24"/>
        </w:rPr>
        <w:t>日</w:t>
      </w:r>
    </w:p>
    <w:tbl>
      <w:tblPr>
        <w:tblStyle w:val="10"/>
        <w:tblW w:w="91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76"/>
        <w:gridCol w:w="1069"/>
        <w:gridCol w:w="1276"/>
        <w:gridCol w:w="1134"/>
        <w:gridCol w:w="10"/>
        <w:gridCol w:w="1266"/>
        <w:gridCol w:w="17"/>
        <w:gridCol w:w="22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before="17" w:line="240" w:lineRule="exact"/>
              <w:rPr>
                <w:sz w:val="24"/>
              </w:rPr>
            </w:pPr>
          </w:p>
          <w:p>
            <w:pPr>
              <w:pStyle w:val="12"/>
              <w:spacing w:line="371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个 人 信 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身份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民族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籍贯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出生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专业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最高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历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工作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职称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移动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3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3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电子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邮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before="4" w:line="260" w:lineRule="exact"/>
              <w:rPr>
                <w:sz w:val="24"/>
              </w:rPr>
            </w:pPr>
          </w:p>
          <w:p>
            <w:pPr>
              <w:pStyle w:val="12"/>
              <w:spacing w:line="222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 作 单 位 情 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称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所属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职工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资产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848"/>
              </w:tabs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真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邮政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编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码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240" w:lineRule="exact"/>
              <w:rPr>
                <w:sz w:val="24"/>
              </w:rPr>
            </w:pPr>
          </w:p>
          <w:p>
            <w:pPr>
              <w:pStyle w:val="12"/>
              <w:ind w:left="263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质</w:t>
            </w:r>
          </w:p>
        </w:tc>
        <w:tc>
          <w:tcPr>
            <w:tcW w:w="6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pacing w:val="9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控股 □ 股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限 □ 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责任 </w:t>
            </w:r>
          </w:p>
          <w:p>
            <w:pPr>
              <w:pStyle w:val="12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集体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营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伙人□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</w:p>
          <w:p>
            <w:pPr>
              <w:pStyle w:val="12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□ 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 □ 个体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□ 事业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exact"/>
          <w:jc w:val="center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sz w:val="24"/>
              </w:rPr>
            </w:pPr>
          </w:p>
          <w:p>
            <w:pPr>
              <w:pStyle w:val="12"/>
              <w:spacing w:before="2" w:line="280" w:lineRule="exact"/>
              <w:rPr>
                <w:sz w:val="24"/>
              </w:rPr>
            </w:pPr>
          </w:p>
          <w:p>
            <w:pPr>
              <w:pStyle w:val="12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教学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意见</w:t>
            </w:r>
          </w:p>
        </w:tc>
        <w:tc>
          <w:tcPr>
            <w:tcW w:w="6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9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（注：如有退费，有关规定开班前请详询招生老师，开班后不予退费，敬请谅解！）</w:t>
            </w:r>
          </w:p>
          <w:p>
            <w:pPr>
              <w:pStyle w:val="12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请参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培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填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制</w:t>
            </w:r>
            <w:r>
              <w:rPr>
                <w:rFonts w:ascii="Adobe 黑体 Std R" w:hAnsi="Adobe 黑体 Std R" w:eastAsia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，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邮件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致：</w:t>
            </w:r>
            <w:r>
              <w:rPr>
                <w:rFonts w:hint="eastAsia" w:ascii="Adobe ｺﾚﾌ・Std R" w:hAnsi="Adobe ｺﾚﾌ・Std R" w:eastAsia="宋体"/>
                <w:sz w:val="21"/>
                <w:lang w:val="en-US" w:eastAsia="zh-CN"/>
              </w:rPr>
              <w:fldChar w:fldCharType="begin"/>
            </w:r>
            <w:r>
              <w:rPr>
                <w:rFonts w:hint="eastAsia" w:ascii="Adobe ｺﾚﾌ・Std R" w:hAnsi="Adobe ｺﾚﾌ・Std R" w:eastAsia="宋体"/>
                <w:sz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Adobe ｺﾚﾌ・Std R" w:hAnsi="Adobe ｺﾚﾌ・Std R" w:eastAsia="宋体"/>
                <w:sz w:val="21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Adobe ｺﾚﾌ・Std R" w:hAnsi="Adobe ｺﾚﾌ・Std R" w:eastAsia="宋体"/>
                <w:sz w:val="21"/>
                <w:lang w:val="en-US" w:eastAsia="zh-CN"/>
              </w:rPr>
              <w:t>pkuyxb@163.com</w:t>
            </w:r>
            <w:r>
              <w:rPr>
                <w:rStyle w:val="9"/>
                <w:rFonts w:hint="eastAsia" w:ascii="Adobe ｺﾚﾌ・Std R" w:hAnsi="Adobe ｺﾚﾌ・Std R" w:eastAsia="宋体"/>
                <w:sz w:val="21"/>
                <w:lang w:val="en-US" w:eastAsia="zh-CN"/>
              </w:rPr>
              <w:fldChar w:fldCharType="end"/>
            </w:r>
            <w:r>
              <w:rPr>
                <w:rFonts w:hint="eastAsia" w:ascii="Adobe ｺﾚﾌ・Std R" w:hAnsi="Adobe ｺﾚﾌ・Std R" w:eastAsia="宋体"/>
                <w:sz w:val="21"/>
                <w:lang w:val="en-US" w:eastAsia="zh-CN"/>
              </w:rPr>
              <w:t>张老师15801019329确认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color w:val="0000FF"/>
          <w:sz w:val="48"/>
          <w:szCs w:val="4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Noto Sans CJK Medium">
    <w:altName w:val="MS Mincho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Adobe ｺﾚﾌ・Std R">
    <w:altName w:val="MS Mincho"/>
    <w:panose1 w:val="00000000000000000000"/>
    <w:charset w:val="80"/>
    <w:family w:val="swiss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EastAsia" w:hAnsiTheme="majorEastAsia" w:eastAsiaTheme="majorEastAsia" w:cstheme="majorEastAsia"/>
        <w:b/>
        <w:bCs/>
        <w:color w:val="0000FF"/>
        <w:sz w:val="28"/>
        <w:szCs w:val="28"/>
      </w:rPr>
    </w:pPr>
    <w:r>
      <w:rPr>
        <w:rFonts w:hint="eastAsia" w:asciiTheme="majorEastAsia" w:hAnsiTheme="majorEastAsia" w:eastAsiaTheme="majorEastAsia" w:cstheme="majorEastAsia"/>
        <w:b/>
        <w:bCs/>
        <w:color w:val="0000FF"/>
        <w:sz w:val="28"/>
        <w:szCs w:val="28"/>
      </w:rPr>
      <w:t>造烛求名|读书求理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/>
        <w:b/>
        <w:bCs/>
        <w:color w:val="DE575D"/>
        <w:lang w:eastAsia="zh-CN"/>
      </w:rPr>
    </w:pPr>
  </w:p>
  <w:p>
    <w:pPr>
      <w:pStyle w:val="7"/>
      <w:jc w:val="right"/>
      <w:rPr>
        <w:rFonts w:hint="eastAsia" w:eastAsiaTheme="minorEastAsia"/>
        <w:b/>
        <w:bCs/>
        <w:color w:val="DE575D"/>
        <w:lang w:eastAsia="zh-CN"/>
      </w:rPr>
    </w:pPr>
    <w:r>
      <w:rPr>
        <w:rFonts w:hint="eastAsia"/>
        <w:b/>
        <w:bCs/>
        <w:color w:val="DE575D"/>
        <w:lang w:eastAsia="zh-CN"/>
      </w:rPr>
      <w:t>源起北大，课程体系再升级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D0168D"/>
    <w:rsid w:val="00422C53"/>
    <w:rsid w:val="00690BEF"/>
    <w:rsid w:val="006E4766"/>
    <w:rsid w:val="00900560"/>
    <w:rsid w:val="00B42D6A"/>
    <w:rsid w:val="00F338A3"/>
    <w:rsid w:val="04BC68F5"/>
    <w:rsid w:val="0B2552CC"/>
    <w:rsid w:val="0C333167"/>
    <w:rsid w:val="0E682A88"/>
    <w:rsid w:val="0FA20965"/>
    <w:rsid w:val="11EB5B3B"/>
    <w:rsid w:val="14F32F41"/>
    <w:rsid w:val="1BF76F77"/>
    <w:rsid w:val="2B5C71AC"/>
    <w:rsid w:val="2C08182D"/>
    <w:rsid w:val="2D5544F2"/>
    <w:rsid w:val="311072C4"/>
    <w:rsid w:val="36D25C56"/>
    <w:rsid w:val="39DF377D"/>
    <w:rsid w:val="3E0A3877"/>
    <w:rsid w:val="3FF22158"/>
    <w:rsid w:val="4669613C"/>
    <w:rsid w:val="495757FE"/>
    <w:rsid w:val="4AD15761"/>
    <w:rsid w:val="4B792948"/>
    <w:rsid w:val="5209161E"/>
    <w:rsid w:val="532063E1"/>
    <w:rsid w:val="5A07360E"/>
    <w:rsid w:val="5FD332D6"/>
    <w:rsid w:val="661D2E6A"/>
    <w:rsid w:val="681702C9"/>
    <w:rsid w:val="6AD61376"/>
    <w:rsid w:val="6D535020"/>
    <w:rsid w:val="6EE662F7"/>
    <w:rsid w:val="72855F08"/>
    <w:rsid w:val="72A765CD"/>
    <w:rsid w:val="739D2BDC"/>
    <w:rsid w:val="7A122746"/>
    <w:rsid w:val="7E8F4979"/>
    <w:rsid w:val="7F67590B"/>
    <w:rsid w:val="7FA00788"/>
    <w:rsid w:val="7FD01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536"/>
    </w:pPr>
    <w:rPr>
      <w:rFonts w:hint="eastAsia" w:ascii="微软雅黑" w:hAnsi="微软雅黑" w:eastAsia="微软雅黑"/>
      <w:sz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rFonts w:hint="default"/>
      <w:color w:val="0000FF"/>
      <w:sz w:val="24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acer</Company>
  <Pages>6</Pages>
  <Words>485</Words>
  <Characters>2767</Characters>
  <Lines>23</Lines>
  <Paragraphs>6</Paragraphs>
  <TotalTime>0</TotalTime>
  <ScaleCrop>false</ScaleCrop>
  <LinksUpToDate>false</LinksUpToDate>
  <CharactersWithSpaces>3246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2018-06-20T02:18:00Z</dcterms:created>
  <dc:creator>Administrator</dc:creator>
  <cp:lastModifiedBy>清华韩韩</cp:lastModifiedBy>
  <dcterms:modified xsi:type="dcterms:W3CDTF">2019-02-25T10:12:48Z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